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4-23-cv-52060-RDC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2024-12-13, between</w:t>
      </w:r>
    </w:p>
    <w:p xmlns:w="http://schemas.openxmlformats.org/wordprocessingml/2006/main">
      <w:r>
        <w:t xml:space="preserve">Ironclad Legal Technologies Inc. ("Plaintiff") and Clearwater Capital Management LP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6 equal monthly installments of $533,333, with the first installment due within 30 days of execution.</w:t>
      </w:r>
    </w:p>
    <w:p xmlns:w="http://schemas.openxmlformats.org/wordprocessingml/2006/main">
      <w:r>
        <w:t xml:space="preserve">Total settlement amount: $3,200,000.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Virginia.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Ironclad Legal Technologies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Clearwater Capital Management 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